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4B06B" w14:textId="315D71C4" w:rsidR="004E31E1" w:rsidRPr="00363A87" w:rsidRDefault="004E31E1" w:rsidP="004E31E1">
      <w:pPr>
        <w:jc w:val="right"/>
        <w:rPr>
          <w:rFonts w:ascii="Open Sans Light" w:hAnsi="Open Sans Light" w:cs="Open Sans Light"/>
        </w:rPr>
      </w:pPr>
      <w:bookmarkStart w:id="0" w:name="_Hlk157077431"/>
      <w:r w:rsidRPr="00363A87">
        <w:rPr>
          <w:rFonts w:ascii="Open Sans Light" w:hAnsi="Open Sans Light" w:cs="Open Sans Light"/>
        </w:rPr>
        <w:t xml:space="preserve">Załącznik </w:t>
      </w:r>
      <w:r>
        <w:rPr>
          <w:rFonts w:ascii="Open Sans Light" w:hAnsi="Open Sans Light" w:cs="Open Sans Light"/>
        </w:rPr>
        <w:t>2</w:t>
      </w:r>
      <w:r w:rsidRPr="00363A87">
        <w:rPr>
          <w:rFonts w:ascii="Open Sans Light" w:hAnsi="Open Sans Light" w:cs="Open Sans Light"/>
        </w:rPr>
        <w:t xml:space="preserve"> do Regulaminu pracy KOP</w:t>
      </w:r>
    </w:p>
    <w:p w14:paraId="06E0A239" w14:textId="77777777" w:rsidR="004E31E1" w:rsidRPr="00C73F28" w:rsidRDefault="004E31E1" w:rsidP="00C73F28">
      <w:pPr>
        <w:spacing w:line="276" w:lineRule="auto"/>
        <w:jc w:val="right"/>
        <w:rPr>
          <w:b/>
        </w:rPr>
      </w:pPr>
    </w:p>
    <w:p w14:paraId="040B21DB" w14:textId="425B509D" w:rsidR="00833AD5" w:rsidRPr="00215DB4" w:rsidRDefault="0016672D" w:rsidP="00584468">
      <w:pPr>
        <w:spacing w:after="240" w:line="276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215DB4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215DB4">
        <w:rPr>
          <w:rStyle w:val="Odwoanieprzypisudolnego"/>
          <w:b/>
          <w:i/>
          <w:sz w:val="20"/>
          <w:szCs w:val="20"/>
        </w:rPr>
        <w:footnoteReference w:id="1"/>
      </w:r>
      <w:r w:rsidR="009B2B41" w:rsidRPr="00215DB4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215DB4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1EDF3BB5" w:rsidR="00635567" w:rsidRPr="00684C6A" w:rsidRDefault="00635567" w:rsidP="004937A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B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684C6A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r w:rsidR="007B6F11">
        <w:rPr>
          <w:rFonts w:asciiTheme="minorHAnsi" w:hAnsiTheme="minorHAnsi" w:cstheme="minorHAnsi"/>
          <w:b/>
          <w:bCs/>
          <w:sz w:val="22"/>
          <w:szCs w:val="22"/>
        </w:rPr>
        <w:t xml:space="preserve"> wraz z deklaracją poufności </w:t>
      </w:r>
    </w:p>
    <w:p w14:paraId="422425C6" w14:textId="77777777" w:rsidR="00833AD5" w:rsidRPr="00684C6A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6FEE3951" w:rsidR="007C4BDD" w:rsidRPr="00CF3119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CF3119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5837274A" w14:textId="214E87DF" w:rsidR="00AE5B5B" w:rsidRPr="00CF3119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CF3119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CF3119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CF3119" w:rsidRDefault="00635567" w:rsidP="00584468">
      <w:p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CF3119">
        <w:rPr>
          <w:rFonts w:asciiTheme="minorHAnsi" w:hAnsiTheme="minorHAnsi" w:cstheme="minorHAnsi"/>
          <w:sz w:val="20"/>
          <w:szCs w:val="20"/>
        </w:rPr>
        <w:t>nstytucji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CF3119">
        <w:rPr>
          <w:rFonts w:asciiTheme="minorHAnsi" w:hAnsiTheme="minorHAnsi" w:cstheme="minorHAnsi"/>
          <w:sz w:val="20"/>
          <w:szCs w:val="20"/>
        </w:rPr>
        <w:t>z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CF3119">
        <w:rPr>
          <w:rFonts w:asciiTheme="minorHAnsi" w:hAnsiTheme="minorHAnsi" w:cstheme="minorHAnsi"/>
          <w:sz w:val="20"/>
          <w:szCs w:val="20"/>
        </w:rPr>
        <w:t>sposób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CF3119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5DCFF3E0" w:rsidR="00635567" w:rsidRPr="00CF3119" w:rsidRDefault="00635567" w:rsidP="005844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>
        <w:rPr>
          <w:rFonts w:asciiTheme="minorHAnsi" w:hAnsiTheme="minorHAnsi" w:cstheme="minorHAnsi"/>
          <w:sz w:val="20"/>
          <w:szCs w:val="20"/>
        </w:rPr>
        <w:br/>
      </w:r>
      <w:r w:rsidR="001C0C2C" w:rsidRPr="00CF3119">
        <w:rPr>
          <w:rFonts w:asciiTheme="minorHAnsi" w:hAnsiTheme="minorHAnsi" w:cstheme="minorHAnsi"/>
          <w:sz w:val="20"/>
          <w:szCs w:val="20"/>
        </w:rPr>
        <w:t>w</w:t>
      </w:r>
      <w:r w:rsidR="00225E7A" w:rsidRPr="00CF3119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CF3119">
        <w:rPr>
          <w:rFonts w:asciiTheme="minorHAnsi" w:hAnsiTheme="minorHAnsi" w:cstheme="minorHAnsi"/>
          <w:sz w:val="20"/>
          <w:szCs w:val="20"/>
        </w:rPr>
        <w:t>y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</w:t>
      </w:r>
      <w:r w:rsidR="00892FAE" w:rsidRPr="00CF3119">
        <w:rPr>
          <w:rFonts w:asciiTheme="minorHAnsi" w:hAnsiTheme="minorHAnsi" w:cstheme="minorHAnsi"/>
          <w:sz w:val="20"/>
          <w:szCs w:val="20"/>
        </w:rPr>
        <w:t>Dz. U.</w:t>
      </w:r>
      <w:r w:rsidR="00892FAE">
        <w:rPr>
          <w:rFonts w:asciiTheme="minorHAnsi" w:hAnsiTheme="minorHAnsi" w:cstheme="minorHAnsi"/>
          <w:sz w:val="20"/>
          <w:szCs w:val="20"/>
        </w:rPr>
        <w:t xml:space="preserve"> </w:t>
      </w:r>
      <w:r w:rsidR="00892FAE" w:rsidRPr="00CF3119">
        <w:rPr>
          <w:rFonts w:asciiTheme="minorHAnsi" w:hAnsiTheme="minorHAnsi" w:cstheme="minorHAnsi"/>
          <w:sz w:val="20"/>
          <w:szCs w:val="20"/>
        </w:rPr>
        <w:t>z 202</w:t>
      </w:r>
      <w:r w:rsidR="00892FAE">
        <w:rPr>
          <w:rFonts w:asciiTheme="minorHAnsi" w:hAnsiTheme="minorHAnsi" w:cstheme="minorHAnsi"/>
          <w:sz w:val="20"/>
          <w:szCs w:val="20"/>
        </w:rPr>
        <w:t>4</w:t>
      </w:r>
      <w:r w:rsidR="00892FAE" w:rsidRPr="00CF3119">
        <w:rPr>
          <w:rFonts w:asciiTheme="minorHAnsi" w:hAnsiTheme="minorHAnsi" w:cstheme="minorHAnsi"/>
          <w:sz w:val="20"/>
          <w:szCs w:val="20"/>
        </w:rPr>
        <w:t xml:space="preserve"> r. poz. </w:t>
      </w:r>
      <w:r w:rsidR="00892FAE">
        <w:rPr>
          <w:rFonts w:asciiTheme="minorHAnsi" w:hAnsiTheme="minorHAnsi" w:cstheme="minorHAnsi"/>
          <w:sz w:val="20"/>
          <w:szCs w:val="20"/>
        </w:rPr>
        <w:t>572</w:t>
      </w:r>
      <w:r w:rsidR="001C0C2C" w:rsidRPr="00CF3119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CF3119" w14:paraId="0C999574" w14:textId="77777777" w:rsidTr="00CF3119">
        <w:tc>
          <w:tcPr>
            <w:tcW w:w="9493" w:type="dxa"/>
          </w:tcPr>
          <w:p w14:paraId="42B05EF5" w14:textId="77777777" w:rsidR="006249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CF3119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1)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CF3119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CF3119">
        <w:rPr>
          <w:rFonts w:asciiTheme="minorHAnsi" w:hAnsiTheme="minorHAnsi" w:cstheme="minorHAnsi"/>
          <w:sz w:val="20"/>
          <w:szCs w:val="20"/>
        </w:rPr>
        <w:t>, że:</w:t>
      </w:r>
    </w:p>
    <w:p w14:paraId="3887F4EB" w14:textId="0B578306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CF3119">
        <w:rPr>
          <w:rFonts w:asciiTheme="minorHAnsi" w:hAnsiTheme="minorHAnsi" w:cstheme="minorHAnsi"/>
          <w:sz w:val="20"/>
          <w:szCs w:val="20"/>
        </w:rPr>
        <w:t>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  <w:r w:rsidRPr="00CF3119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>;</w:t>
      </w:r>
    </w:p>
    <w:p w14:paraId="69DA2279" w14:textId="6E58F623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związany/-a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706958B7" w14:textId="37B9729C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lastRenderedPageBreak/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, ani nie jestem związany/-a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147D5FBE" w14:textId="2DBCD904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CF3119" w:rsidRDefault="004937AE" w:rsidP="00584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pozostaję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w stosunku podrzędności służbowej.</w:t>
      </w:r>
    </w:p>
    <w:p w14:paraId="1B0A605E" w14:textId="77777777" w:rsidR="004937AE" w:rsidRPr="00CF3119" w:rsidRDefault="004937AE" w:rsidP="00584468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02D0191A" w14:textId="0DCBBF2E" w:rsidR="00B52643" w:rsidRPr="00A66065" w:rsidRDefault="00635567" w:rsidP="005844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CF3119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CF3119">
        <w:rPr>
          <w:rFonts w:asciiTheme="minorHAnsi" w:hAnsiTheme="minorHAnsi" w:cstheme="minorHAnsi"/>
          <w:sz w:val="20"/>
          <w:szCs w:val="20"/>
        </w:rPr>
        <w:t xml:space="preserve">ust. 3 </w:t>
      </w:r>
      <w:r w:rsidRPr="00CF3119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wyborze projektów. </w:t>
      </w: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CF3119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CF3119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8B7CB8" w:rsidRDefault="00635567" w:rsidP="00584468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B7CB8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B7CB8">
        <w:rPr>
          <w:rStyle w:val="Odwoanieprzypisudolnego"/>
          <w:b/>
          <w:bCs/>
          <w:sz w:val="22"/>
          <w:szCs w:val="22"/>
        </w:rPr>
        <w:footnoteReference w:id="2"/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CF3119" w:rsidRDefault="00215DB4" w:rsidP="005844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CF3119" w:rsidRDefault="00215DB4" w:rsidP="00584468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CF3119" w:rsidRDefault="00215DB4" w:rsidP="005844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CF3119" w:rsidRDefault="00215DB4" w:rsidP="00584468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CF3119" w:rsidRDefault="00215DB4" w:rsidP="005844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CF3119" w:rsidRDefault="00215DB4" w:rsidP="00584468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15CEA880" w:rsidR="00215DB4" w:rsidRPr="00CF3119" w:rsidRDefault="00215DB4" w:rsidP="00584468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 xml:space="preserve">nieudostępniania lub nieprzekazywania osobom trzecim jakichkolwiek pisemnych lub elektronicznych informacji lub dokumentów związanych z procesem oceny i rekomendacji projektów ubiegających się o dofinansowanie w ramach programu </w:t>
      </w:r>
      <w:r w:rsidR="00B80A77" w:rsidRPr="00B80A77">
        <w:rPr>
          <w:rFonts w:asciiTheme="minorHAnsi" w:hAnsiTheme="minorHAnsi" w:cstheme="minorHAnsi"/>
          <w:bCs/>
          <w:sz w:val="20"/>
          <w:szCs w:val="20"/>
        </w:rPr>
        <w:t>Fundusze Europejskie na Infrastrukturę, Klimat, Środowisko 2021-2027</w:t>
      </w:r>
      <w:r w:rsidRPr="00CF3119">
        <w:rPr>
          <w:rFonts w:asciiTheme="minorHAnsi" w:hAnsiTheme="minorHAnsi" w:cstheme="minorHAnsi"/>
          <w:bCs/>
          <w:sz w:val="20"/>
          <w:szCs w:val="20"/>
        </w:rPr>
        <w:t>,</w:t>
      </w:r>
    </w:p>
    <w:p w14:paraId="7297EE68" w14:textId="0B215B0E" w:rsidR="00215DB4" w:rsidRPr="000C1C7A" w:rsidRDefault="00215DB4" w:rsidP="00584468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 xml:space="preserve"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</w:t>
      </w:r>
      <w:r w:rsidR="00B80A77" w:rsidRPr="00B80A77">
        <w:rPr>
          <w:rFonts w:asciiTheme="minorHAnsi" w:hAnsiTheme="minorHAnsi" w:cstheme="minorHAnsi"/>
          <w:bCs/>
          <w:sz w:val="20"/>
          <w:szCs w:val="20"/>
        </w:rPr>
        <w:t>Fundusze Europejskie na Infrastrukturę, Klimat, Środowisko 2021-2027</w:t>
      </w:r>
      <w:r w:rsidRPr="00CF3119">
        <w:rPr>
          <w:rFonts w:asciiTheme="minorHAnsi" w:hAnsiTheme="minorHAnsi" w:cstheme="minorHAnsi"/>
          <w:bCs/>
          <w:sz w:val="20"/>
          <w:szCs w:val="20"/>
        </w:rPr>
        <w:t xml:space="preserve">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CF3119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CF3119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CF3119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Pr="00CF3119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sectPr w:rsidR="001E7039" w:rsidRPr="00CF3119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3D2D4A8B">
          <wp:extent cx="5981700" cy="802640"/>
          <wp:effectExtent l="0" t="0" r="0" b="0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42136229">
    <w:abstractNumId w:val="3"/>
  </w:num>
  <w:num w:numId="2" w16cid:durableId="893393691">
    <w:abstractNumId w:val="7"/>
  </w:num>
  <w:num w:numId="3" w16cid:durableId="7283847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9310640">
    <w:abstractNumId w:val="1"/>
  </w:num>
  <w:num w:numId="5" w16cid:durableId="1221788443">
    <w:abstractNumId w:val="0"/>
  </w:num>
  <w:num w:numId="6" w16cid:durableId="1148589169">
    <w:abstractNumId w:val="5"/>
  </w:num>
  <w:num w:numId="7" w16cid:durableId="1859847702">
    <w:abstractNumId w:val="8"/>
  </w:num>
  <w:num w:numId="8" w16cid:durableId="1360669090">
    <w:abstractNumId w:val="4"/>
  </w:num>
  <w:num w:numId="9" w16cid:durableId="351538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921D5"/>
    <w:rsid w:val="001C0C2C"/>
    <w:rsid w:val="001E1EA2"/>
    <w:rsid w:val="001E7039"/>
    <w:rsid w:val="001F7C47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31E1"/>
    <w:rsid w:val="004E54F1"/>
    <w:rsid w:val="00540D43"/>
    <w:rsid w:val="00584468"/>
    <w:rsid w:val="005A37C6"/>
    <w:rsid w:val="00604F23"/>
    <w:rsid w:val="0061498B"/>
    <w:rsid w:val="00615F68"/>
    <w:rsid w:val="0062444C"/>
    <w:rsid w:val="0062496F"/>
    <w:rsid w:val="00635567"/>
    <w:rsid w:val="006473B4"/>
    <w:rsid w:val="00655C04"/>
    <w:rsid w:val="00663B79"/>
    <w:rsid w:val="00673074"/>
    <w:rsid w:val="00684C6A"/>
    <w:rsid w:val="00692F4C"/>
    <w:rsid w:val="0069781D"/>
    <w:rsid w:val="006A6355"/>
    <w:rsid w:val="007253AC"/>
    <w:rsid w:val="00735D17"/>
    <w:rsid w:val="00753DD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2FA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66065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0A77"/>
    <w:rsid w:val="00B81B34"/>
    <w:rsid w:val="00B94C62"/>
    <w:rsid w:val="00BD4A90"/>
    <w:rsid w:val="00C73F28"/>
    <w:rsid w:val="00C7742B"/>
    <w:rsid w:val="00CD2EEA"/>
    <w:rsid w:val="00CD3C4E"/>
    <w:rsid w:val="00CD6360"/>
    <w:rsid w:val="00CF3119"/>
    <w:rsid w:val="00D55FBC"/>
    <w:rsid w:val="00D86A79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E3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0F9DA-538D-4055-B7EC-9B49B89E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Mikuszewski Dawid</cp:lastModifiedBy>
  <cp:revision>7</cp:revision>
  <cp:lastPrinted>2024-04-16T11:45:00Z</cp:lastPrinted>
  <dcterms:created xsi:type="dcterms:W3CDTF">2024-06-06T09:14:00Z</dcterms:created>
  <dcterms:modified xsi:type="dcterms:W3CDTF">2024-12-06T11:28:00Z</dcterms:modified>
</cp:coreProperties>
</file>